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1" w:rsidRDefault="00047711" w:rsidP="008A1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851A5F">
        <w:rPr>
          <w:b/>
          <w:bCs/>
          <w:color w:val="000000"/>
          <w:sz w:val="28"/>
          <w:szCs w:val="28"/>
        </w:rPr>
        <w:t>1. Паспорт муниципальной программы</w:t>
      </w:r>
    </w:p>
    <w:p w:rsidR="00047711" w:rsidRPr="001B43B6" w:rsidRDefault="00047711" w:rsidP="008A165D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2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938"/>
      </w:tblGrid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1.1. Наименование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Муниципальная программа «Здоровый город» (далее - муниципальная программа)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1.2. Основания для разработки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7" w:history="1">
              <w:r w:rsidRPr="001B43B6">
                <w:rPr>
                  <w:rStyle w:val="Hyperlink"/>
                  <w:color w:val="000000"/>
                  <w:sz w:val="28"/>
                  <w:szCs w:val="28"/>
                </w:rPr>
                <w:t>закон</w:t>
              </w:r>
            </w:hyperlink>
            <w:r w:rsidRPr="001B43B6">
              <w:rPr>
                <w:color w:val="000000"/>
                <w:sz w:val="28"/>
                <w:szCs w:val="28"/>
              </w:rPr>
              <w:t xml:space="preserve"> Российской Федерации от 21.11.2011 № 323-ФЗ «Об основах охраны здоровья граждан в Российской Федерации»;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8" w:history="1">
              <w:r w:rsidRPr="001B43B6">
                <w:rPr>
                  <w:rStyle w:val="Hyperlink"/>
                  <w:color w:val="000000"/>
                  <w:sz w:val="28"/>
                  <w:szCs w:val="28"/>
                </w:rPr>
                <w:t>закон</w:t>
              </w:r>
            </w:hyperlink>
            <w:r w:rsidRPr="001B43B6">
              <w:rPr>
                <w:color w:val="000000"/>
                <w:sz w:val="28"/>
                <w:szCs w:val="28"/>
              </w:rPr>
              <w:t xml:space="preserve"> Российской Федерации от 23.02.2013 № 15-ФЗ «Об охране здоровья граждан от воздействия окружающего табачного дыма и последствий потребления табака»;</w:t>
            </w:r>
          </w:p>
          <w:p w:rsidR="00047711" w:rsidRPr="001B43B6" w:rsidRDefault="00047711" w:rsidP="00111F82">
            <w:pPr>
              <w:pStyle w:val="ConsPlusTitle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B43B6">
              <w:rPr>
                <w:b w:val="0"/>
                <w:bCs w:val="0"/>
                <w:color w:val="000000"/>
                <w:sz w:val="28"/>
                <w:szCs w:val="28"/>
              </w:rPr>
              <w:t>Постановление Правительства Российской Федерации от 26.12.2017 № 1640 «Об утверждении государственной программы Российской Федерации «Развитие здравоохранения»;</w:t>
            </w:r>
          </w:p>
          <w:p w:rsidR="00047711" w:rsidRPr="001B43B6" w:rsidRDefault="00047711" w:rsidP="00111F82">
            <w:pPr>
              <w:pStyle w:val="ConsPlusTitle"/>
              <w:rPr>
                <w:rStyle w:val="Hyperlink"/>
                <w:color w:val="000000"/>
                <w:sz w:val="28"/>
                <w:szCs w:val="28"/>
              </w:rPr>
            </w:pPr>
            <w:r w:rsidRPr="001B43B6">
              <w:rPr>
                <w:b w:val="0"/>
                <w:bCs w:val="0"/>
                <w:color w:val="000000"/>
                <w:sz w:val="28"/>
                <w:szCs w:val="28"/>
              </w:rPr>
              <w:t xml:space="preserve">Паспорт приоритетного проекта «Формирование здорового образа жизни», утвержденный Президиумом Совета при Президенте Российской Федерации по стратегическому развитию и приоритетным проектам (протокол от 27.07.2017 № 8); 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rStyle w:val="Hyperlink"/>
                <w:color w:val="000000"/>
                <w:sz w:val="28"/>
                <w:szCs w:val="28"/>
              </w:rPr>
            </w:pPr>
            <w:r w:rsidRPr="001B43B6">
              <w:rPr>
                <w:rStyle w:val="Hyperlink"/>
                <w:color w:val="000000"/>
                <w:sz w:val="28"/>
                <w:szCs w:val="28"/>
              </w:rPr>
              <w:t>Закон У</w:t>
            </w:r>
            <w:r w:rsidRPr="001B43B6">
              <w:rPr>
                <w:color w:val="000000"/>
                <w:sz w:val="28"/>
                <w:szCs w:val="28"/>
              </w:rPr>
              <w:t>льяновской области от 03.04.2012 № 23-ЗО «О регулировании некоторых вопросов, связанных с информированием населения муниципальных образований Ульяновской области о возможности распространения социально значимых заболеваний и заболеваний, представляющих опасность для окружающих, на территории муниципальных образований Ульяновской области, а также об угрозе возникновения и возникновении эпидемий»;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rStyle w:val="Hyperlink"/>
                <w:color w:val="000000"/>
                <w:sz w:val="28"/>
                <w:szCs w:val="28"/>
              </w:rPr>
              <w:t xml:space="preserve">Закон </w:t>
            </w:r>
            <w:r w:rsidRPr="001B43B6">
              <w:rPr>
                <w:color w:val="000000"/>
                <w:sz w:val="28"/>
                <w:szCs w:val="28"/>
              </w:rPr>
              <w:t>Ульяновской области от 03.04.2012 № 24-ЗО «О регулировании некоторых вопросов, связанных с реализацией на территориях муниципальных образований Ульяновской области мероприятий по профилактике заболеваний и формированию здорового образа жизни»</w:t>
            </w:r>
          </w:p>
          <w:p w:rsidR="00047711" w:rsidRPr="001B43B6" w:rsidRDefault="00047711" w:rsidP="00111F82">
            <w:pPr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Паспорт приоритетного проекта «Формирование здорового образа жизни на территории Ульяновской области до 2025 года», утвержденный Правительством Ульяновской области от 22.02.2018 № 12-П/П</w:t>
            </w:r>
          </w:p>
          <w:p w:rsidR="00047711" w:rsidRPr="001B43B6" w:rsidRDefault="00047711" w:rsidP="00111F82">
            <w:pPr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Стратегия социально-экономического развития Муниципального образования «Город Димитровград» Ульяновской области до 2030 года, утвержденная решением Городской Думы города Димитровграда Ульяновской области первого созыва от 28.09.2011 № 56/697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1.3. Заказчик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Администрация города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1.4. Разработчик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Default="00047711" w:rsidP="00111F82">
            <w:pPr>
              <w:widowControl w:val="0"/>
              <w:autoSpaceDE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«Управление по реализации социальных программ»</w:t>
            </w:r>
            <w:r w:rsidRPr="001B43B6">
              <w:rPr>
                <w:color w:val="000000"/>
                <w:sz w:val="28"/>
                <w:szCs w:val="28"/>
              </w:rPr>
              <w:t xml:space="preserve"> </w:t>
            </w:r>
          </w:p>
          <w:p w:rsidR="00047711" w:rsidRPr="009119E1" w:rsidRDefault="00047711" w:rsidP="00111F82">
            <w:pPr>
              <w:widowControl w:val="0"/>
              <w:autoSpaceDE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1.5. Руководитель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Заместитель Главы города, курирующий социальную сферу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1.6. 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«Управление по реализации социальных программ» (по согласованию);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МКУ «Комитет по делам молодежи» (по согласованию);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Управление образования;</w:t>
            </w:r>
          </w:p>
          <w:p w:rsidR="00047711" w:rsidRPr="001B43B6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Комитет по физической культуре и спорту;</w:t>
            </w:r>
          </w:p>
          <w:p w:rsidR="00047711" w:rsidRPr="00F45918" w:rsidRDefault="00047711" w:rsidP="00111F82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Управление по делам культуры и искусства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1.7. Цели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111F82">
            <w:pPr>
              <w:widowControl w:val="0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Формирование культуры здоровья населения, привитие навыков активного и здорового образа жизни.</w:t>
            </w:r>
          </w:p>
          <w:p w:rsidR="00047711" w:rsidRPr="001B43B6" w:rsidRDefault="00047711" w:rsidP="00111F82">
            <w:pPr>
              <w:widowControl w:val="0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Внедрение лучших международных и российских практик в области формирования здорового образа жизни населения.</w:t>
            </w: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393F25" w:rsidRDefault="00047711" w:rsidP="00111F8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93F25">
              <w:rPr>
                <w:color w:val="000000"/>
                <w:sz w:val="28"/>
                <w:szCs w:val="28"/>
                <w:lang w:eastAsia="zh-CN"/>
              </w:rPr>
              <w:t>1.8. Сроки и этапы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393F25" w:rsidRDefault="00047711" w:rsidP="00111F8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393F25">
              <w:rPr>
                <w:color w:val="000000"/>
                <w:sz w:val="28"/>
                <w:szCs w:val="28"/>
                <w:lang w:eastAsia="zh-CN"/>
              </w:rPr>
              <w:t xml:space="preserve">Срок реализации муниципальной программы 2019-2023 годы. </w:t>
            </w:r>
          </w:p>
          <w:p w:rsidR="00047711" w:rsidRPr="00393F25" w:rsidRDefault="00047711" w:rsidP="00111F82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Этапы не выделяются.</w:t>
            </w:r>
          </w:p>
          <w:p w:rsidR="00047711" w:rsidRPr="00393F25" w:rsidRDefault="00047711" w:rsidP="00111F8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1B43B6" w:rsidRDefault="00047711" w:rsidP="0098385F">
            <w:pPr>
              <w:widowControl w:val="0"/>
              <w:autoSpaceDE w:val="0"/>
              <w:rPr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1.9. Объемы и источники финансирования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>Источник финансирования муниципальной программы – бюджет города.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1B43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651,4329</w:t>
            </w:r>
            <w:r w:rsidRPr="001B43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</w:t>
            </w:r>
            <w:r w:rsidRPr="001B43B6">
              <w:rPr>
                <w:color w:val="000000"/>
                <w:sz w:val="28"/>
                <w:szCs w:val="28"/>
              </w:rPr>
              <w:t>, в том числе: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11,730 тыс. руб.</w:t>
            </w:r>
            <w:r w:rsidRPr="001B43B6">
              <w:rPr>
                <w:color w:val="000000"/>
                <w:sz w:val="28"/>
                <w:szCs w:val="28"/>
              </w:rPr>
              <w:t>;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 xml:space="preserve">2020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1B43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11,4229 тыс. руб.</w:t>
            </w:r>
            <w:r w:rsidRPr="001B43B6">
              <w:rPr>
                <w:color w:val="000000"/>
                <w:sz w:val="28"/>
                <w:szCs w:val="28"/>
              </w:rPr>
              <w:t>;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1B43B6">
              <w:rPr>
                <w:color w:val="000000"/>
                <w:sz w:val="28"/>
                <w:szCs w:val="28"/>
              </w:rPr>
              <w:t xml:space="preserve">2021 год </w:t>
            </w:r>
            <w:r>
              <w:rPr>
                <w:color w:val="000000"/>
                <w:sz w:val="28"/>
                <w:szCs w:val="28"/>
              </w:rPr>
              <w:t>– 0,00 тыс. руб.</w:t>
            </w:r>
            <w:r w:rsidRPr="001B43B6">
              <w:rPr>
                <w:color w:val="000000"/>
                <w:sz w:val="28"/>
                <w:szCs w:val="28"/>
              </w:rPr>
              <w:t>;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 тыс. руб.</w:t>
            </w:r>
            <w:r w:rsidRPr="001B43B6">
              <w:rPr>
                <w:color w:val="000000"/>
                <w:sz w:val="28"/>
                <w:szCs w:val="28"/>
              </w:rPr>
              <w:t>;</w:t>
            </w:r>
          </w:p>
          <w:p w:rsidR="00047711" w:rsidRDefault="00047711" w:rsidP="0098385F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- 628,28 тыс. руб</w:t>
            </w:r>
            <w:r w:rsidRPr="001B43B6">
              <w:rPr>
                <w:color w:val="000000"/>
                <w:sz w:val="28"/>
                <w:szCs w:val="28"/>
              </w:rPr>
              <w:t>.</w:t>
            </w:r>
          </w:p>
          <w:p w:rsidR="00047711" w:rsidRPr="001B43B6" w:rsidRDefault="00047711" w:rsidP="0098385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047711" w:rsidRPr="001B43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11" w:rsidRPr="009126D5" w:rsidRDefault="00047711" w:rsidP="0098385F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126D5">
              <w:rPr>
                <w:color w:val="000000"/>
                <w:sz w:val="28"/>
                <w:szCs w:val="28"/>
                <w:lang w:eastAsia="zh-CN"/>
              </w:rPr>
              <w:t>1.10. Основные 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1" w:rsidRPr="009126D5" w:rsidRDefault="00047711" w:rsidP="0098385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126D5">
              <w:rPr>
                <w:sz w:val="28"/>
                <w:szCs w:val="28"/>
                <w:lang w:eastAsia="zh-CN"/>
              </w:rPr>
              <w:t xml:space="preserve">Увеличение количества участников массовых мероприятий, посвященных здоровому образу жизни, не менее чем на 5% </w:t>
            </w:r>
            <w:r>
              <w:rPr>
                <w:sz w:val="28"/>
                <w:szCs w:val="28"/>
                <w:lang w:eastAsia="zh-CN"/>
              </w:rPr>
              <w:t>за период реализации муниципальной программы</w:t>
            </w:r>
            <w:r w:rsidRPr="009126D5">
              <w:rPr>
                <w:sz w:val="28"/>
                <w:szCs w:val="28"/>
                <w:lang w:eastAsia="zh-CN"/>
              </w:rPr>
              <w:t>.</w:t>
            </w:r>
          </w:p>
          <w:p w:rsidR="00047711" w:rsidRPr="009126D5" w:rsidRDefault="00047711" w:rsidP="0098385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126D5">
              <w:rPr>
                <w:sz w:val="28"/>
                <w:szCs w:val="28"/>
                <w:lang w:eastAsia="zh-CN"/>
              </w:rPr>
              <w:t>Увеличение количества волонтеров, активно занимающихся пропагандой здорового образа жизни, до</w:t>
            </w:r>
            <w:r>
              <w:rPr>
                <w:sz w:val="28"/>
                <w:szCs w:val="28"/>
                <w:lang w:eastAsia="zh-CN"/>
              </w:rPr>
              <w:t xml:space="preserve"> 55 чел</w:t>
            </w:r>
            <w:r w:rsidRPr="009126D5">
              <w:rPr>
                <w:sz w:val="28"/>
                <w:szCs w:val="28"/>
                <w:lang w:eastAsia="zh-CN"/>
              </w:rPr>
              <w:t>.</w:t>
            </w:r>
          </w:p>
          <w:p w:rsidR="00047711" w:rsidRPr="009126D5" w:rsidRDefault="00047711" w:rsidP="0098385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Доля</w:t>
            </w:r>
            <w:r w:rsidRPr="009126D5">
              <w:rPr>
                <w:sz w:val="28"/>
                <w:szCs w:val="28"/>
                <w:lang w:eastAsia="zh-CN"/>
              </w:rPr>
              <w:t xml:space="preserve"> населе</w:t>
            </w:r>
            <w:r>
              <w:rPr>
                <w:sz w:val="28"/>
                <w:szCs w:val="28"/>
                <w:lang w:eastAsia="zh-CN"/>
              </w:rPr>
              <w:t>ния (старше 18 лет), изменившая</w:t>
            </w:r>
            <w:r w:rsidRPr="009126D5">
              <w:rPr>
                <w:sz w:val="28"/>
                <w:szCs w:val="28"/>
                <w:lang w:eastAsia="zh-CN"/>
              </w:rPr>
              <w:t xml:space="preserve"> свой обра</w:t>
            </w:r>
            <w:r>
              <w:rPr>
                <w:sz w:val="28"/>
                <w:szCs w:val="28"/>
                <w:lang w:eastAsia="zh-CN"/>
              </w:rPr>
              <w:t>з жизни на более здоровый - 35</w:t>
            </w:r>
            <w:r w:rsidRPr="009126D5">
              <w:rPr>
                <w:sz w:val="28"/>
                <w:szCs w:val="28"/>
                <w:lang w:eastAsia="zh-CN"/>
              </w:rPr>
              <w:t>%.</w:t>
            </w:r>
          </w:p>
          <w:p w:rsidR="00047711" w:rsidRPr="009126D5" w:rsidRDefault="00047711" w:rsidP="0098385F">
            <w:pPr>
              <w:tabs>
                <w:tab w:val="left" w:pos="567"/>
              </w:tabs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126D5">
              <w:rPr>
                <w:sz w:val="28"/>
                <w:szCs w:val="28"/>
                <w:lang w:eastAsia="zh-CN"/>
              </w:rPr>
              <w:t>Увеличение количества в</w:t>
            </w:r>
            <w:r w:rsidRPr="009126D5">
              <w:rPr>
                <w:color w:val="000000"/>
                <w:sz w:val="28"/>
                <w:szCs w:val="28"/>
                <w:lang w:eastAsia="zh-CN"/>
              </w:rPr>
              <w:t>недренных социальных технологий в области формирования здоро</w:t>
            </w:r>
            <w:r>
              <w:rPr>
                <w:color w:val="000000"/>
                <w:sz w:val="28"/>
                <w:szCs w:val="28"/>
                <w:lang w:eastAsia="zh-CN"/>
              </w:rPr>
              <w:t>вого образа жизни населения до 4 ед</w:t>
            </w:r>
            <w:r w:rsidRPr="009126D5">
              <w:rPr>
                <w:color w:val="000000"/>
                <w:sz w:val="28"/>
                <w:szCs w:val="28"/>
                <w:lang w:eastAsia="zh-CN"/>
              </w:rPr>
              <w:t>.</w:t>
            </w:r>
          </w:p>
          <w:p w:rsidR="00047711" w:rsidRPr="009126D5" w:rsidRDefault="00047711" w:rsidP="0098385F">
            <w:pPr>
              <w:tabs>
                <w:tab w:val="left" w:pos="567"/>
              </w:tabs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Количество</w:t>
            </w:r>
            <w:r w:rsidRPr="009126D5">
              <w:rPr>
                <w:color w:val="000000"/>
                <w:sz w:val="28"/>
                <w:szCs w:val="28"/>
                <w:lang w:eastAsia="zh-CN"/>
              </w:rPr>
              <w:t xml:space="preserve"> социальной рекламы (баннеры, буклет</w:t>
            </w:r>
            <w:r>
              <w:rPr>
                <w:color w:val="000000"/>
                <w:sz w:val="28"/>
                <w:szCs w:val="28"/>
                <w:lang w:eastAsia="zh-CN"/>
              </w:rPr>
              <w:t>ы) на территории города - 2503 шт.</w:t>
            </w:r>
          </w:p>
        </w:tc>
      </w:tr>
    </w:tbl>
    <w:p w:rsidR="00047711" w:rsidRDefault="00047711" w:rsidP="008A1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51A5F">
        <w:rPr>
          <w:b/>
          <w:bCs/>
          <w:color w:val="000000"/>
          <w:sz w:val="28"/>
          <w:szCs w:val="28"/>
        </w:rPr>
        <w:t>2. Характеристика проблем, на решение которых направлена</w:t>
      </w: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851A5F">
        <w:rPr>
          <w:b/>
          <w:bCs/>
          <w:color w:val="000000"/>
          <w:sz w:val="28"/>
          <w:szCs w:val="28"/>
        </w:rPr>
        <w:t>муниципальная программа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Численность постоянного населения города Димитровграда на 01.01.2018 по предварительным данным составила 115,2 тыс. человек (в 2016 году - 116,6 тыс. человек, в 2015 году - 117,3 тыс. человек). 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Численность трудоспособного населения на 01.01.2018 составила 55,9% или 64,4 тыс. человек. 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Средняя продолжительность жизни в 2017 году составила 71,6 года, мужчин - 66лет, женщин - 77,1 года (в 2016 году: средняя - 70,9 года, мужчин - 65,9 года, женщин - 77,4 года).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Показатель общей смертности на 1 тыс. жителей по городу Димитровграду составил 14,7, что на 3,9% ниже, чем за аналогичный период 2016 года (15,3%), и на 5,2% ниже, чем за аналогичный период 2015 года (15,5%).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В возрастной структуре смертности преобладают лица 60 лет и старше - 85,2%, на долю лиц трудоспособного возраста приходится 36,7%. 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Естественная убыль населения в 2017 году составила 409 человек, что на 173 человека больше, чем в 2016 году (236 человек).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 структуре общей смертности по итогам 2017 года на первом месте стоит смертность от болезней системы кровообращения. Показатель на 100 тыс. населения за 2017 год составил 770,8 (в 2016 году - 777,6; в 2015 году - 795,2). Среди заболеваний системы кровообращения наибольшую долю занимает ишемическая болезнь сердца.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Второе место среди причин смертности занимают новообразования, показатель в 2017 году - 230,5 (в 2016 году - 246,3; в 2015 году - 257,7), из них злокачественные - 224,4 (в 2016 году - 240,3; в 2015 году - 254,2).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Третье место занимают болезни органов пищеварения, показатель в 2017 году - 83,7 (в 2016 году - 80,7; в 2015 году - 88,7).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Смертность от случайного отравления алкоголем на 100 тыс. населения на 01.01.2018 составляет 5,2 (в 2016 году - 9,4; в 2015 году - 13,7).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Очевидно, что изменение демографической ситуации и преодоление ежегодной убыли населения города возможно лишь путем активизации мер по снижению смертности.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Вопросы сохранения здоровья и активного долголетия, а также снижения смертности граждан в трудоспособном возрасте приобретают особую актуальность и значимость для дальнейшего развития города.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здоровый образ жизни.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Постепенный рост тенденций к здоровому образу жизни может свидетельствовать об усилении потребностей жителей города в наличии возможностей профилактики и способах сохранения и укрепления своего здоровья. Тем не менее проблема вредных привычек, губительно влияющих на здоровье населения всех возрастов, не теряет своей актуальности.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Чаще всего вредные привычки человек приобретает еще в молодости, что потом серьезно вредит его здоровью, так как избавиться от них в течение всей жизни может быть весьма трудно. Поэтому особое внимание в работе по направлению сохранения и укрепления здоровья детей и подростков должно уделяться профилактике употребления психоактивных веществ. К таким привычкам в первую очередь относятся курение и употребление алкоголя. 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 2017 году проведено анкетирование учащихся 9-х, 11-х классов на тему «Отношение школьников к своему здоровью и здоровому образу жизни». В опросе приняли участие 665 респондентов. Результаты анкетирования показали, что каждый пятый (18,2%) пробовал курить, а каждый четвертый (29,7%) пробовал алкогольные напитки.</w:t>
      </w:r>
    </w:p>
    <w:p w:rsidR="00047711" w:rsidRPr="001B43B6" w:rsidRDefault="00047711" w:rsidP="008A165D">
      <w:pPr>
        <w:pStyle w:val="NormalWeb"/>
        <w:widowControl w:val="0"/>
        <w:shd w:val="clear" w:color="auto" w:fill="FFFFFF"/>
        <w:autoSpaceDE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Нельзя упускать из виду наметившую тенденцию распространения различных так называемых нехимических видов зависимости, когда зависимое поведение формируется от нехимического агента. В первую очередь здесь нужно говорить о компьютерной и интернет-зависимости. По данным опроса 2017 года у 33,8% опрошенных периодически возникает потребность выйти в интернет. Настораживающим является тот факт, что 35,1% школьников испытывают ежедневную потребность в интернете и не представляют без него жизни. Это может самым серьезным образом нарушить социальную адаптацию человека в обществе. Кроме того, продолжительное времяпрепровождение за компьютером не может не оказать своего отрицательного влияния и на состояние физического здоровья детей: страдает зрение и опорно-двигательный аппарат. </w:t>
      </w:r>
    </w:p>
    <w:p w:rsidR="00047711" w:rsidRPr="001B43B6" w:rsidRDefault="00047711" w:rsidP="008A165D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Решение задач в области охраны здоровья населения, по экспертным оценкам, только на 20% определяется усилиями непосредственно в сфере системы здравоохранения. Главной предпосылкой для активной жизни, полноценного выполнения всех социальных функций и достижения активного долголетия остается здоровый образ жизни, который является системой разумного поведения человека (двигательная активность, правильное питание, рациональный режим жизни и отказ от вредных привычек), опирающейся на фундамент нравственных и духовных традиций и обеспечивающей человеку физическое, психологическое и социальное благополучие, то есть - здоровье. 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Проект Европейского регионального бюро Всемирной организации здравоохранения «Здоровые города» является признанной на международном уровне методологической основой для организации деятельности по укреплению здоровья и оздоровлению окружающей среды на городском уровне.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Вступив в проект в 2006 году, город получил возможность изучения современной методологии развития общественного здоровья, использования лучших практик с доказанной эффективностью для решения проблем сохранения и укрепления здоровья. Проект базируется на «социальной модели здоровья», согласно которой здоровье является результатом целого ряда социально-экономических, культурных факторов и факторов внешней среды: качества жилья, наличия работы, уровня доходов и образования, безопасности окружающей среды и общества. 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 2011 году Димитровград вступил в Ассоциацию по улучшению здоровья и качества жизни населения «Здоровые города, районы и поселки». Членство в Ассоциации позволяет городу позиционироваться на федеральном уровне, участвовать в конкурсах и реализовывать мероприятия по улучшению здоровья за счет грантов международных и российских организаций.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1B43B6">
        <w:rPr>
          <w:color w:val="000000"/>
          <w:sz w:val="28"/>
          <w:szCs w:val="28"/>
        </w:rPr>
        <w:t>Настоящая муниципальная программа является продолжением комплексной межведомственной деятельности по укреплению здоровья жителей города и направлена на повышение информированности населения о факторах риска неинфекционных заболеваний и формирование здорового образа жизни.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  <w:highlight w:val="yellow"/>
        </w:rPr>
      </w:pP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851A5F">
        <w:rPr>
          <w:b/>
          <w:bCs/>
          <w:color w:val="000000"/>
          <w:sz w:val="28"/>
          <w:szCs w:val="28"/>
        </w:rPr>
        <w:t>Список используемых сокращений и терминов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Общественное здоровье - это индикатор жизнеспособности общества как социального организма, возможностей его роста и социально-экономического развития, обороны, рационального использования природных ресурсов и поддержания экологического равновесия с окружающей природой и социальной средой.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Образ жизни (ВОЗ) - взаимодействие условий жизни индивида с индивидуальной моделью поведения, которая определяется социокультурными факторами и личностными особенностями.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Здоровый образ жизни </w:t>
      </w:r>
      <w:r w:rsidRPr="001B43B6">
        <w:rPr>
          <w:b/>
          <w:bCs/>
          <w:color w:val="000000"/>
          <w:sz w:val="28"/>
          <w:szCs w:val="28"/>
        </w:rPr>
        <w:t>-</w:t>
      </w:r>
      <w:r w:rsidRPr="001B43B6">
        <w:rPr>
          <w:color w:val="000000"/>
          <w:sz w:val="28"/>
          <w:szCs w:val="28"/>
        </w:rPr>
        <w:t xml:space="preserve"> это деятельность, направленная на сохранение, улучшение и укрепление здоровья людей. 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Ассоциация - Ассоциация по улучшению здоровья и качества жизни населения «Здоровые города, районы и поселки».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ВОЗ - Всемирная организация здравоохранения.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Муниципальная программа</w:t>
      </w:r>
      <w:r w:rsidRPr="001B43B6">
        <w:rPr>
          <w:b/>
          <w:bCs/>
          <w:color w:val="000000"/>
          <w:sz w:val="28"/>
          <w:szCs w:val="28"/>
        </w:rPr>
        <w:t xml:space="preserve"> </w:t>
      </w:r>
      <w:r w:rsidRPr="001B43B6">
        <w:rPr>
          <w:color w:val="000000"/>
          <w:sz w:val="28"/>
          <w:szCs w:val="28"/>
        </w:rPr>
        <w:t>- муниципальная программа «Здоровый город».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ЕРБ ВОЗ</w:t>
      </w:r>
      <w:r w:rsidRPr="001B43B6">
        <w:rPr>
          <w:b/>
          <w:bCs/>
          <w:color w:val="000000"/>
          <w:sz w:val="28"/>
          <w:szCs w:val="28"/>
        </w:rPr>
        <w:t xml:space="preserve"> </w:t>
      </w:r>
      <w:r w:rsidRPr="001B43B6">
        <w:rPr>
          <w:color w:val="000000"/>
          <w:sz w:val="28"/>
          <w:szCs w:val="28"/>
        </w:rPr>
        <w:t>- Европейское региональное бюро Всемирной организации здравоохранения.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Город - город Димитровград Ульяновской области.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Администрация города - Администрация города Димитровграда Ульяновской области.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Глава города - Глава города Димитровграда Ульяновской области.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Управление финансов и муниципальных закупок - Управление финансов и муниципальных закупок города Димитровграда Ульяновской области.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Управление социально-экономического развития </w:t>
      </w:r>
      <w:r w:rsidRPr="001B43B6">
        <w:rPr>
          <w:b/>
          <w:bCs/>
          <w:color w:val="000000"/>
          <w:sz w:val="28"/>
          <w:szCs w:val="28"/>
        </w:rPr>
        <w:t xml:space="preserve">- </w:t>
      </w:r>
      <w:r w:rsidRPr="001B43B6">
        <w:rPr>
          <w:color w:val="000000"/>
          <w:sz w:val="28"/>
          <w:szCs w:val="28"/>
        </w:rPr>
        <w:t>Управление социально-экономического развития Администрации города Димитровграда Ульяновской области.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B43B6">
        <w:rPr>
          <w:color w:val="000000"/>
          <w:sz w:val="28"/>
          <w:szCs w:val="28"/>
        </w:rPr>
        <w:t>Проект - Проект «Здоровые города».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hyperlink r:id="rId9" w:history="1">
        <w:r w:rsidRPr="001B43B6">
          <w:rPr>
            <w:rStyle w:val="Hyperlink"/>
            <w:color w:val="000000"/>
            <w:sz w:val="28"/>
            <w:szCs w:val="28"/>
          </w:rPr>
          <w:t>Закон</w:t>
        </w:r>
      </w:hyperlink>
      <w:r w:rsidRPr="001B43B6">
        <w:rPr>
          <w:color w:val="000000"/>
          <w:sz w:val="28"/>
          <w:szCs w:val="28"/>
        </w:rPr>
        <w:t xml:space="preserve"> Ульяновской области от 03.04.2012 № 23-ЗО - Закон Ульяновской области от 03.04.2012 № 23-ЗО «О регулировании некоторых вопросов, связанных с информированием населения муниципальных образований Ульяновской области о возможности распространения социально значимых заболеваний и заболеваний, представляющих опасность для окружающих, на территориях муниципальных образований Ульяновской области, а также об угрозе возникновения и возникновении эпидемий».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851A5F">
        <w:rPr>
          <w:b/>
          <w:bCs/>
          <w:color w:val="000000"/>
          <w:sz w:val="28"/>
          <w:szCs w:val="28"/>
        </w:rPr>
        <w:t>3. Цели и задачи муниципальной программы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1B43B6" w:rsidRDefault="00047711" w:rsidP="008A165D">
      <w:pPr>
        <w:widowControl w:val="0"/>
        <w:autoSpaceDE w:val="0"/>
        <w:ind w:firstLine="510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Целями муниципальной программы являются: формирование культуры здоровья населения, привитие навыков активного и здорового образа жизни, внедрение лучших международных и российских практик в области формирования здорового образа жизни населения.</w:t>
      </w: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Для достижения целей необходимо обеспечить решение следующих  задач:</w:t>
      </w:r>
    </w:p>
    <w:p w:rsidR="00047711" w:rsidRPr="001B43B6" w:rsidRDefault="00047711" w:rsidP="008A165D">
      <w:pPr>
        <w:widowControl w:val="0"/>
        <w:tabs>
          <w:tab w:val="left" w:pos="283"/>
        </w:tabs>
        <w:autoSpaceDE w:val="0"/>
        <w:ind w:firstLine="510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- повышение грамотности населения в вопросах здорового образа жизни;</w:t>
      </w:r>
    </w:p>
    <w:p w:rsidR="00047711" w:rsidRPr="001B43B6" w:rsidRDefault="00047711" w:rsidP="008A165D">
      <w:pPr>
        <w:widowControl w:val="0"/>
        <w:tabs>
          <w:tab w:val="left" w:pos="283"/>
        </w:tabs>
        <w:autoSpaceDE w:val="0"/>
        <w:ind w:firstLine="510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>-активное вовлечение населения в деятельность по формированию здорового образа жизни;</w:t>
      </w:r>
    </w:p>
    <w:p w:rsidR="00047711" w:rsidRPr="001B43B6" w:rsidRDefault="00047711" w:rsidP="008A165D">
      <w:pPr>
        <w:widowControl w:val="0"/>
        <w:tabs>
          <w:tab w:val="left" w:pos="283"/>
        </w:tabs>
        <w:autoSpaceDE w:val="0"/>
        <w:ind w:firstLine="510"/>
        <w:jc w:val="both"/>
        <w:rPr>
          <w:sz w:val="28"/>
          <w:szCs w:val="28"/>
        </w:rPr>
      </w:pPr>
      <w:r w:rsidRPr="001B43B6">
        <w:rPr>
          <w:color w:val="000000"/>
          <w:sz w:val="28"/>
          <w:szCs w:val="28"/>
        </w:rPr>
        <w:t>-развитие механизма межведомственного взаимодействия в создании условий для ведения здорового образа жизни и формирования потребности населения города вести здоровый образ жизни;</w:t>
      </w:r>
    </w:p>
    <w:p w:rsidR="00047711" w:rsidRPr="001B43B6" w:rsidRDefault="00047711" w:rsidP="008A165D">
      <w:pPr>
        <w:widowControl w:val="0"/>
        <w:tabs>
          <w:tab w:val="left" w:pos="283"/>
        </w:tabs>
        <w:autoSpaceDE w:val="0"/>
        <w:ind w:firstLine="510"/>
        <w:jc w:val="both"/>
        <w:rPr>
          <w:color w:val="000000"/>
          <w:sz w:val="28"/>
          <w:szCs w:val="28"/>
        </w:rPr>
      </w:pPr>
      <w:r w:rsidRPr="001B43B6">
        <w:rPr>
          <w:sz w:val="28"/>
          <w:szCs w:val="28"/>
        </w:rPr>
        <w:t>-содействие развитию волонтерского движения в сфере пропаганды здорового образа жизни.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851A5F" w:rsidRDefault="00047711" w:rsidP="008A165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851A5F">
        <w:rPr>
          <w:b/>
          <w:bCs/>
          <w:color w:val="000000"/>
          <w:sz w:val="28"/>
          <w:szCs w:val="28"/>
        </w:rPr>
        <w:t>4. Система программных мероприятий</w:t>
      </w:r>
    </w:p>
    <w:p w:rsidR="00047711" w:rsidRPr="001B43B6" w:rsidRDefault="00047711" w:rsidP="008A165D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47711" w:rsidRPr="001B43B6" w:rsidRDefault="00047711" w:rsidP="008A165D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1B43B6">
        <w:rPr>
          <w:color w:val="000000"/>
          <w:sz w:val="28"/>
          <w:szCs w:val="28"/>
        </w:rPr>
        <w:t xml:space="preserve">Основные программные мероприятия указаны в </w:t>
      </w:r>
      <w:hyperlink w:anchor="P304" w:history="1">
        <w:r w:rsidRPr="001B43B6">
          <w:rPr>
            <w:rStyle w:val="Hyperlink"/>
            <w:color w:val="000000"/>
            <w:sz w:val="28"/>
            <w:szCs w:val="28"/>
          </w:rPr>
          <w:t>приложении</w:t>
        </w:r>
      </w:hyperlink>
      <w:r w:rsidRPr="001B43B6">
        <w:rPr>
          <w:color w:val="000000"/>
          <w:sz w:val="28"/>
          <w:szCs w:val="28"/>
        </w:rPr>
        <w:t xml:space="preserve"> к муниципальной программе.</w:t>
      </w:r>
    </w:p>
    <w:p w:rsidR="00047711" w:rsidRDefault="00047711" w:rsidP="000844B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47711" w:rsidRDefault="00047711" w:rsidP="000844B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7711" w:rsidRDefault="00047711" w:rsidP="00245C5D">
      <w:pPr>
        <w:widowControl w:val="0"/>
        <w:suppressAutoHyphens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A3B40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>муниципальной п</w:t>
      </w:r>
      <w:r w:rsidRPr="00CA3B40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ой</w:t>
      </w:r>
    </w:p>
    <w:p w:rsidR="00047711" w:rsidRPr="00245C5D" w:rsidRDefault="00047711" w:rsidP="00245C5D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245C5D">
        <w:rPr>
          <w:b/>
          <w:bCs/>
          <w:sz w:val="28"/>
          <w:szCs w:val="28"/>
        </w:rPr>
        <w:t>и контроль ее реализации</w:t>
      </w:r>
    </w:p>
    <w:p w:rsidR="00047711" w:rsidRPr="000D0349" w:rsidRDefault="00047711" w:rsidP="000D0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 от 28.12.2018 № 2905 (далее - Порядок).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Руководитель муниципальной программы: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несет ответственность за эффективность и результативность муниципальной программы;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 xml:space="preserve">- своевременно направляет в управление социально-экономического развития </w:t>
      </w:r>
      <w:hyperlink r:id="rId10" w:history="1">
        <w:r w:rsidRPr="000D0349">
          <w:rPr>
            <w:sz w:val="28"/>
            <w:szCs w:val="28"/>
          </w:rPr>
          <w:t>отчеты</w:t>
        </w:r>
      </w:hyperlink>
      <w:r w:rsidRPr="000D0349">
        <w:rPr>
          <w:sz w:val="28"/>
          <w:szCs w:val="28"/>
        </w:rPr>
        <w:t xml:space="preserve"> о ходе реализации муниципальной программы: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ежеквартальный - до 15 числа месяца, следующего за отчетным кварталом;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годовой - до 1 февраля года, следующего за отчетным, в который включается оценка эффективности реализации муниципальной программы.</w:t>
      </w:r>
    </w:p>
    <w:p w:rsidR="00047711" w:rsidRPr="000D0349" w:rsidRDefault="00047711" w:rsidP="000D0349">
      <w:pPr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Исполнители муниципальной программы: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 xml:space="preserve">- определяют поставщиков (подрядчиков, исполнителей) способами, установленными действующим </w:t>
      </w:r>
      <w:hyperlink r:id="rId11" w:history="1">
        <w:r w:rsidRPr="000D0349">
          <w:rPr>
            <w:sz w:val="28"/>
            <w:szCs w:val="28"/>
          </w:rPr>
          <w:t>законодательством</w:t>
        </w:r>
      </w:hyperlink>
      <w:r w:rsidRPr="000D0349">
        <w:rPr>
          <w:sz w:val="28"/>
          <w:szCs w:val="28"/>
        </w:rPr>
        <w:t>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Разработчик муниципальной программы: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организует публикацию в средствах массовой информации или в информационно-коммуникационной сети «Интернет»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города на долгосрочный период;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047711" w:rsidRPr="000D0349" w:rsidRDefault="00047711" w:rsidP="000D03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0349">
        <w:rPr>
          <w:sz w:val="28"/>
          <w:szCs w:val="28"/>
        </w:rPr>
        <w:t>- подготавливает проект отчетов и представляет их руководителю муниципальной программы.</w:t>
      </w:r>
    </w:p>
    <w:p w:rsidR="00047711" w:rsidRPr="009126D5" w:rsidRDefault="00047711" w:rsidP="009126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47711" w:rsidRPr="004F051C" w:rsidRDefault="00047711" w:rsidP="004F051C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4F051C">
        <w:rPr>
          <w:b/>
          <w:bCs/>
          <w:color w:val="000000"/>
          <w:sz w:val="28"/>
          <w:szCs w:val="28"/>
          <w:lang w:eastAsia="zh-CN"/>
        </w:rPr>
        <w:t>6. Система индикаторов эффективности реализации</w:t>
      </w:r>
    </w:p>
    <w:p w:rsidR="00047711" w:rsidRPr="004F051C" w:rsidRDefault="00047711" w:rsidP="004F051C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4F051C">
        <w:rPr>
          <w:b/>
          <w:bCs/>
          <w:color w:val="000000"/>
          <w:sz w:val="28"/>
          <w:szCs w:val="28"/>
          <w:lang w:eastAsia="zh-CN"/>
        </w:rPr>
        <w:t>муниципальной программы</w:t>
      </w:r>
    </w:p>
    <w:p w:rsidR="00047711" w:rsidRPr="00C9102B" w:rsidRDefault="00047711" w:rsidP="000B55F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5458">
        <w:rPr>
          <w:sz w:val="28"/>
          <w:szCs w:val="28"/>
        </w:rPr>
        <w:t>Индикаторы эффективности реализации муниципальной программы</w:t>
      </w:r>
    </w:p>
    <w:tbl>
      <w:tblPr>
        <w:tblW w:w="9659" w:type="dxa"/>
        <w:tblInd w:w="-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3260"/>
        <w:gridCol w:w="1109"/>
        <w:gridCol w:w="992"/>
        <w:gridCol w:w="755"/>
        <w:gridCol w:w="756"/>
        <w:gridCol w:w="756"/>
        <w:gridCol w:w="756"/>
        <w:gridCol w:w="829"/>
      </w:tblGrid>
      <w:tr w:rsidR="00047711" w:rsidRPr="004F051C">
        <w:trPr>
          <w:cantSplit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left="-27" w:firstLine="27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Индикатор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Единица измере-ния</w:t>
            </w:r>
          </w:p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Базовое значе-ние</w:t>
            </w:r>
          </w:p>
        </w:tc>
        <w:tc>
          <w:tcPr>
            <w:tcW w:w="3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Значения показателей по годам</w:t>
            </w:r>
          </w:p>
        </w:tc>
      </w:tr>
      <w:tr w:rsidR="00047711" w:rsidRPr="004F051C">
        <w:trPr>
          <w:cantSplit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2018</w:t>
            </w:r>
          </w:p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 xml:space="preserve"> г.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2019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2020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2021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ind w:right="-35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2023 г.</w:t>
            </w:r>
          </w:p>
        </w:tc>
      </w:tr>
      <w:tr w:rsidR="00047711" w:rsidRPr="004F051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9</w:t>
            </w:r>
          </w:p>
        </w:tc>
      </w:tr>
      <w:tr w:rsidR="00047711" w:rsidRPr="004F051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F051C">
              <w:rPr>
                <w:color w:val="000000"/>
                <w:lang w:eastAsia="zh-CN"/>
              </w:rPr>
              <w:t>Количество участников массовых мероприятий, посвященных здоровому образу жизни (нарастающим итогом)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3000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3150</w:t>
            </w:r>
          </w:p>
        </w:tc>
      </w:tr>
      <w:tr w:rsidR="00047711" w:rsidRPr="004F051C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F051C">
              <w:rPr>
                <w:lang w:eastAsia="zh-CN"/>
              </w:rPr>
              <w:t>Количество волонтеров, активно занимающихся пропагандой здорового образа жизни (нарастающим итогом)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50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</w:tr>
      <w:tr w:rsidR="00047711" w:rsidRPr="004F051C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ind w:right="24"/>
              <w:jc w:val="both"/>
              <w:rPr>
                <w:lang w:eastAsia="zh-CN"/>
              </w:rPr>
            </w:pPr>
            <w:r w:rsidRPr="004F051C">
              <w:rPr>
                <w:lang w:eastAsia="zh-CN"/>
              </w:rPr>
              <w:t>Доля населе</w:t>
            </w:r>
            <w:r>
              <w:rPr>
                <w:lang w:eastAsia="zh-CN"/>
              </w:rPr>
              <w:t>ния (старше 18 лет), изменившая</w:t>
            </w:r>
            <w:r w:rsidRPr="004F051C">
              <w:rPr>
                <w:lang w:eastAsia="zh-CN"/>
              </w:rPr>
              <w:t xml:space="preserve"> свой образ жизни на более здоровый (нарастающим итогом)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-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</w:tr>
      <w:tr w:rsidR="00047711" w:rsidRPr="004F051C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ind w:left="-78"/>
              <w:rPr>
                <w:lang w:eastAsia="zh-CN"/>
              </w:rPr>
            </w:pPr>
            <w:r w:rsidRPr="004F051C">
              <w:rPr>
                <w:lang w:eastAsia="zh-CN"/>
              </w:rPr>
              <w:t>Количество внедренных социальных технологий в области здорового образа жизни (ежегодно)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-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047711" w:rsidRPr="004F051C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4F051C">
              <w:rPr>
                <w:lang w:eastAsia="zh-CN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suppressAutoHyphens/>
              <w:rPr>
                <w:lang w:eastAsia="zh-CN"/>
              </w:rPr>
            </w:pPr>
            <w:r w:rsidRPr="004F051C">
              <w:rPr>
                <w:lang w:eastAsia="zh-CN"/>
              </w:rPr>
              <w:t>Количество социальной рекламы (баннеры, буклеты) на территории города Димитровграда (ежегодно)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-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F051C"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Pr="004F051C" w:rsidRDefault="00047711" w:rsidP="0098385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2503</w:t>
            </w:r>
          </w:p>
        </w:tc>
      </w:tr>
    </w:tbl>
    <w:p w:rsidR="00047711" w:rsidRPr="004D449C" w:rsidRDefault="00047711" w:rsidP="004147C8">
      <w:pPr>
        <w:tabs>
          <w:tab w:val="left" w:pos="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047711" w:rsidRDefault="00047711" w:rsidP="00B93C87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34A0">
        <w:rPr>
          <w:b/>
          <w:bCs/>
          <w:sz w:val="28"/>
          <w:szCs w:val="28"/>
        </w:rPr>
        <w:t>«7. Прогноз ожидаемых социально-экономических результатов реализации муниципальной программы</w:t>
      </w:r>
    </w:p>
    <w:p w:rsidR="00047711" w:rsidRPr="00645C69" w:rsidRDefault="00047711" w:rsidP="00B93C87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>Реализация муниципальной программы позволит достигнуть следующих результатов:</w:t>
      </w:r>
    </w:p>
    <w:p w:rsidR="00047711" w:rsidRPr="00645C69" w:rsidRDefault="00047711" w:rsidP="00B93C8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 xml:space="preserve">- увеличение количества участников массовых мероприятий, посвященных здоровому образу жизни, не менее чем на 5% </w:t>
      </w:r>
      <w:r>
        <w:rPr>
          <w:color w:val="000000"/>
          <w:sz w:val="28"/>
          <w:szCs w:val="28"/>
          <w:lang w:eastAsia="zh-CN"/>
        </w:rPr>
        <w:t>за период реализации муниципальной программы</w:t>
      </w:r>
      <w:r w:rsidRPr="00645C69">
        <w:rPr>
          <w:color w:val="000000"/>
          <w:sz w:val="28"/>
          <w:szCs w:val="28"/>
          <w:lang w:eastAsia="zh-CN"/>
        </w:rPr>
        <w:t>;</w:t>
      </w:r>
    </w:p>
    <w:p w:rsidR="00047711" w:rsidRPr="00645C69" w:rsidRDefault="00047711" w:rsidP="00B93C8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>- увеличение количества волонтеров, активно занимающихся пропагандо</w:t>
      </w:r>
      <w:r>
        <w:rPr>
          <w:color w:val="000000"/>
          <w:sz w:val="28"/>
          <w:szCs w:val="28"/>
          <w:lang w:eastAsia="zh-CN"/>
        </w:rPr>
        <w:t>й здорового образа жизни, до 55</w:t>
      </w:r>
      <w:r w:rsidRPr="00645C69">
        <w:rPr>
          <w:color w:val="000000"/>
          <w:sz w:val="28"/>
          <w:szCs w:val="28"/>
          <w:lang w:eastAsia="zh-CN"/>
        </w:rPr>
        <w:t xml:space="preserve"> чел</w:t>
      </w:r>
      <w:r>
        <w:rPr>
          <w:color w:val="000000"/>
          <w:sz w:val="28"/>
          <w:szCs w:val="28"/>
          <w:lang w:eastAsia="zh-CN"/>
        </w:rPr>
        <w:t>.</w:t>
      </w:r>
      <w:r w:rsidRPr="00645C69">
        <w:rPr>
          <w:color w:val="000000"/>
          <w:sz w:val="28"/>
          <w:szCs w:val="28"/>
          <w:lang w:eastAsia="zh-CN"/>
        </w:rPr>
        <w:t>;</w:t>
      </w:r>
    </w:p>
    <w:p w:rsidR="00047711" w:rsidRPr="00645C69" w:rsidRDefault="00047711" w:rsidP="00B93C8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 xml:space="preserve">- </w:t>
      </w:r>
      <w:r>
        <w:rPr>
          <w:color w:val="000000"/>
          <w:sz w:val="28"/>
          <w:szCs w:val="28"/>
          <w:lang w:eastAsia="zh-CN"/>
        </w:rPr>
        <w:t>доля</w:t>
      </w:r>
      <w:r w:rsidRPr="00645C69">
        <w:rPr>
          <w:color w:val="000000"/>
          <w:sz w:val="28"/>
          <w:szCs w:val="28"/>
          <w:lang w:eastAsia="zh-CN"/>
        </w:rPr>
        <w:t xml:space="preserve"> населе</w:t>
      </w:r>
      <w:r>
        <w:rPr>
          <w:color w:val="000000"/>
          <w:sz w:val="28"/>
          <w:szCs w:val="28"/>
          <w:lang w:eastAsia="zh-CN"/>
        </w:rPr>
        <w:t>ния (старше 18 лет), изменившая</w:t>
      </w:r>
      <w:r w:rsidRPr="00645C69">
        <w:rPr>
          <w:color w:val="000000"/>
          <w:sz w:val="28"/>
          <w:szCs w:val="28"/>
          <w:lang w:eastAsia="zh-CN"/>
        </w:rPr>
        <w:t xml:space="preserve"> свой образ </w:t>
      </w:r>
      <w:r>
        <w:rPr>
          <w:color w:val="000000"/>
          <w:sz w:val="28"/>
          <w:szCs w:val="28"/>
          <w:lang w:eastAsia="zh-CN"/>
        </w:rPr>
        <w:t>жизни на более здоровый- 35</w:t>
      </w:r>
      <w:r w:rsidRPr="00645C69">
        <w:rPr>
          <w:color w:val="000000"/>
          <w:sz w:val="28"/>
          <w:szCs w:val="28"/>
          <w:lang w:eastAsia="zh-CN"/>
        </w:rPr>
        <w:t>%;</w:t>
      </w:r>
    </w:p>
    <w:p w:rsidR="00047711" w:rsidRPr="00645C69" w:rsidRDefault="00047711" w:rsidP="00B93C8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>- увеличение количества внедренных социальных технологий в обл</w:t>
      </w:r>
      <w:r>
        <w:rPr>
          <w:color w:val="000000"/>
          <w:sz w:val="28"/>
          <w:szCs w:val="28"/>
          <w:lang w:eastAsia="zh-CN"/>
        </w:rPr>
        <w:t>асти здорового образа жизни до 4</w:t>
      </w:r>
      <w:r w:rsidRPr="00645C69">
        <w:rPr>
          <w:color w:val="000000"/>
          <w:sz w:val="28"/>
          <w:szCs w:val="28"/>
          <w:lang w:eastAsia="zh-CN"/>
        </w:rPr>
        <w:t xml:space="preserve"> ед</w:t>
      </w:r>
      <w:r>
        <w:rPr>
          <w:color w:val="000000"/>
          <w:sz w:val="28"/>
          <w:szCs w:val="28"/>
          <w:lang w:eastAsia="zh-CN"/>
        </w:rPr>
        <w:t>.</w:t>
      </w:r>
      <w:r w:rsidRPr="00645C69">
        <w:rPr>
          <w:color w:val="000000"/>
          <w:sz w:val="28"/>
          <w:szCs w:val="28"/>
          <w:lang w:eastAsia="zh-CN"/>
        </w:rPr>
        <w:t>;</w:t>
      </w:r>
    </w:p>
    <w:p w:rsidR="00047711" w:rsidRDefault="00047711" w:rsidP="00B93C8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45C69">
        <w:rPr>
          <w:color w:val="000000"/>
          <w:sz w:val="28"/>
          <w:szCs w:val="28"/>
          <w:lang w:eastAsia="zh-CN"/>
        </w:rPr>
        <w:t xml:space="preserve">- </w:t>
      </w:r>
      <w:r>
        <w:rPr>
          <w:color w:val="000000"/>
          <w:sz w:val="28"/>
          <w:szCs w:val="28"/>
          <w:lang w:eastAsia="zh-CN"/>
        </w:rPr>
        <w:t>к</w:t>
      </w:r>
      <w:r w:rsidRPr="00645C69">
        <w:rPr>
          <w:color w:val="000000"/>
          <w:sz w:val="28"/>
          <w:szCs w:val="28"/>
          <w:lang w:eastAsia="zh-CN"/>
        </w:rPr>
        <w:t>оличеств</w:t>
      </w:r>
      <w:r>
        <w:rPr>
          <w:color w:val="000000"/>
          <w:sz w:val="28"/>
          <w:szCs w:val="28"/>
          <w:lang w:eastAsia="zh-CN"/>
        </w:rPr>
        <w:t>о</w:t>
      </w:r>
      <w:r w:rsidRPr="00645C69">
        <w:rPr>
          <w:color w:val="000000"/>
          <w:sz w:val="28"/>
          <w:szCs w:val="28"/>
          <w:lang w:eastAsia="zh-CN"/>
        </w:rPr>
        <w:t xml:space="preserve"> социальной рекламы (баннеры, буклеты) на территории гор</w:t>
      </w:r>
      <w:r>
        <w:rPr>
          <w:color w:val="000000"/>
          <w:sz w:val="28"/>
          <w:szCs w:val="28"/>
          <w:lang w:eastAsia="zh-CN"/>
        </w:rPr>
        <w:t>ода Димитровграда - 2503 шт.</w:t>
      </w:r>
      <w:r>
        <w:rPr>
          <w:sz w:val="28"/>
          <w:szCs w:val="28"/>
          <w:lang w:eastAsia="zh-CN"/>
        </w:rPr>
        <w:t>»;</w:t>
      </w: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711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8A165D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711" w:rsidRDefault="00047711" w:rsidP="008A165D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711" w:rsidRDefault="00047711" w:rsidP="006A14F3">
      <w:pPr>
        <w:tabs>
          <w:tab w:val="left" w:pos="840"/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№1</w:t>
      </w:r>
    </w:p>
    <w:p w:rsidR="00047711" w:rsidRDefault="00047711" w:rsidP="004147C8">
      <w:pPr>
        <w:tabs>
          <w:tab w:val="left" w:pos="840"/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Муниципальной </w:t>
      </w:r>
    </w:p>
    <w:p w:rsidR="00047711" w:rsidRDefault="00047711" w:rsidP="004147C8">
      <w:pPr>
        <w:tabs>
          <w:tab w:val="left" w:pos="840"/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программе</w:t>
      </w:r>
    </w:p>
    <w:p w:rsidR="00047711" w:rsidRDefault="00047711" w:rsidP="00B010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«Здоровый город»</w:t>
      </w:r>
    </w:p>
    <w:p w:rsidR="00047711" w:rsidRDefault="00047711" w:rsidP="00645C69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11" w:rsidRDefault="00047711" w:rsidP="00645C69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95152">
        <w:rPr>
          <w:b/>
          <w:bCs/>
          <w:sz w:val="28"/>
          <w:szCs w:val="28"/>
        </w:rPr>
        <w:t>Система программных мероприятий</w:t>
      </w:r>
    </w:p>
    <w:p w:rsidR="00047711" w:rsidRPr="00295152" w:rsidRDefault="00047711" w:rsidP="00181F9F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476"/>
        <w:gridCol w:w="91"/>
        <w:gridCol w:w="1701"/>
        <w:gridCol w:w="1276"/>
        <w:gridCol w:w="1134"/>
        <w:gridCol w:w="992"/>
        <w:gridCol w:w="993"/>
        <w:gridCol w:w="992"/>
        <w:gridCol w:w="992"/>
        <w:gridCol w:w="992"/>
      </w:tblGrid>
      <w:tr w:rsidR="00047711">
        <w:trPr>
          <w:cantSplit/>
          <w:trHeight w:val="20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Источник финансового обеспечения</w:t>
            </w:r>
            <w:r w:rsidRPr="0040271C">
              <w:rPr>
                <w:sz w:val="20"/>
                <w:szCs w:val="20"/>
              </w:rPr>
              <w:t>, тыс.руб.</w:t>
            </w:r>
          </w:p>
        </w:tc>
      </w:tr>
      <w:tr w:rsidR="00047711">
        <w:trPr>
          <w:cantSplit/>
        </w:trPr>
        <w:tc>
          <w:tcPr>
            <w:tcW w:w="476" w:type="dxa"/>
            <w:vMerge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Бюджетные ассигнования бюджета города</w:t>
            </w:r>
          </w:p>
        </w:tc>
      </w:tr>
      <w:tr w:rsidR="00047711">
        <w:trPr>
          <w:cantSplit/>
          <w:trHeight w:val="310"/>
        </w:trPr>
        <w:tc>
          <w:tcPr>
            <w:tcW w:w="476" w:type="dxa"/>
            <w:vMerge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Финансовое обеспечение всего**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 w:rsidRPr="0040271C">
              <w:rPr>
                <w:sz w:val="20"/>
                <w:szCs w:val="20"/>
              </w:rPr>
              <w:t>по годам (тыс. руб.)</w:t>
            </w:r>
          </w:p>
        </w:tc>
      </w:tr>
      <w:tr w:rsidR="00047711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Pr="001261C7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 xml:space="preserve">2023 </w:t>
            </w:r>
          </w:p>
        </w:tc>
      </w:tr>
      <w:tr w:rsidR="0004771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47711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 Основное мероприятие «Формирование здорового образа жизни»</w:t>
            </w:r>
          </w:p>
        </w:tc>
      </w:tr>
      <w:tr w:rsidR="00047711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Разработка, изготовление и размещение печатной и наружной социальной рекламы</w:t>
            </w: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(буклеты, баннеры)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30,3000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30,3000</w:t>
            </w:r>
          </w:p>
        </w:tc>
      </w:tr>
      <w:tr w:rsidR="00047711">
        <w:trPr>
          <w:trHeight w:val="1600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Молодежный форум  «Здоровая молодежь - будущее России!»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«Комитет по делам молодежи»*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</w:t>
            </w: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Управление по делам культуры и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21,2100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21,2100</w:t>
            </w:r>
          </w:p>
        </w:tc>
      </w:tr>
      <w:tr w:rsidR="00047711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Городской конкурс агитбригад «Мы за здоровый образ жизни» среди образовательных организаций и работающей молодежи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«Комитет по делам молодежи»*</w:t>
            </w: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Управление по делам культуры и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13,2500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13,2500</w:t>
            </w:r>
          </w:p>
        </w:tc>
      </w:tr>
      <w:tr w:rsidR="00047711">
        <w:trPr>
          <w:cantSplit/>
          <w:trHeight w:val="345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Организация и работа «Школы волонтеров»:</w:t>
            </w:r>
          </w:p>
          <w:p w:rsidR="00047711" w:rsidRDefault="00047711" w:rsidP="0098385F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«Комитет по делам молодежи»*</w:t>
            </w: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46,0400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46,0400</w:t>
            </w:r>
          </w:p>
        </w:tc>
      </w:tr>
      <w:tr w:rsidR="00047711">
        <w:trPr>
          <w:cantSplit/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проведение мастер-классов</w:t>
            </w:r>
            <w:r>
              <w:rPr>
                <w:sz w:val="18"/>
                <w:szCs w:val="18"/>
              </w:rPr>
              <w:t xml:space="preserve"> от экспертов по волонтерской деятельности (1 раз в квартал)</w:t>
            </w:r>
          </w:p>
          <w:p w:rsidR="00047711" w:rsidRDefault="00047711" w:rsidP="0098385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3,6000</w:t>
            </w:r>
          </w:p>
        </w:tc>
      </w:tr>
      <w:tr w:rsidR="00047711">
        <w:trPr>
          <w:cantSplit/>
          <w:trHeight w:val="34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 xml:space="preserve"> п</w:t>
            </w:r>
            <w:r>
              <w:rPr>
                <w:sz w:val="18"/>
                <w:szCs w:val="18"/>
              </w:rPr>
              <w:t>роведение конкурса «Лучший волонтер» (для стимулирования и поддержки волонтеров)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11,1000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18"/>
                <w:szCs w:val="18"/>
              </w:rPr>
              <w:t>11,1000</w:t>
            </w:r>
          </w:p>
        </w:tc>
      </w:tr>
      <w:tr w:rsidR="00047711">
        <w:trPr>
          <w:cantSplit/>
          <w:trHeight w:val="345"/>
        </w:trPr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изготовление сертификатов о прохождении обучения (ф. А5)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0,5000</w:t>
            </w:r>
          </w:p>
        </w:tc>
      </w:tr>
      <w:tr w:rsidR="00047711">
        <w:trPr>
          <w:cantSplit/>
          <w:trHeight w:val="34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изготовление промо-продукции (футболки, бейсболки) с логотипом «Здоровый город»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30,8400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30,8400</w:t>
            </w:r>
          </w:p>
        </w:tc>
      </w:tr>
      <w:tr w:rsidR="00047711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110,8000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jc w:val="center"/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pStyle w:val="a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110,8000</w:t>
            </w:r>
          </w:p>
        </w:tc>
      </w:tr>
      <w:tr w:rsidR="00047711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Основное мероприятие «Обеспечение участия в проекте ЕРБ ВОЗ «Здоровые города» и деятельности в рамках членства</w:t>
            </w:r>
          </w:p>
          <w:p w:rsidR="00047711" w:rsidRDefault="00047711" w:rsidP="009838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Сети Здоровых городов ВОЗ и Ассоциации «Здоровые города, районы и поселки»</w:t>
            </w: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 xml:space="preserve">Оплата членских взносов в Европейское бюро Всемирной организации здравоохранения </w:t>
            </w:r>
          </w:p>
          <w:p w:rsidR="00047711" w:rsidRDefault="00047711" w:rsidP="009838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288,1500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288,1500</w:t>
            </w: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Оплата членских взносов в Ассоциацию «Здоровые города, районы и поселки»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35,0029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11,7300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11,4229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11,8500</w:t>
            </w:r>
          </w:p>
        </w:tc>
      </w:tr>
      <w:tr w:rsidR="00047711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Участие в ежегодном совещании ЕРБ ВОЗ по проекту «Здоровые города», в совещаниях Российской сети «Здоровые города, районы и поселки», семинарах, конференциях по охране здоровья и ЗОЖ: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150,4800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150,4800</w:t>
            </w:r>
          </w:p>
        </w:tc>
      </w:tr>
      <w:tr w:rsidR="00047711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проживание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72,51533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72,51533</w:t>
            </w:r>
          </w:p>
        </w:tc>
      </w:tr>
      <w:tr w:rsidR="00047711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55,2749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55,2749</w:t>
            </w:r>
          </w:p>
        </w:tc>
      </w:tr>
      <w:tr w:rsidR="00047711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суточные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22,68977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22,68977</w:t>
            </w: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визы для поездки на Международную конференцию «здоровых городов» Европейского бюро </w:t>
            </w:r>
          </w:p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Всемирной организации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20,0000</w:t>
            </w:r>
          </w:p>
        </w:tc>
      </w:tr>
      <w:tr w:rsidR="00047711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Услуги по письменному переводу в рамках переписки с участниками Проекта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47,0000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sz w:val="20"/>
                <w:szCs w:val="20"/>
              </w:rPr>
              <w:t>47,0000</w:t>
            </w: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540,6329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11,7300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11,4229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517,4800</w:t>
            </w:r>
          </w:p>
        </w:tc>
      </w:tr>
      <w:tr w:rsidR="0004771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651,4329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11,7300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11,4229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711" w:rsidRDefault="00047711" w:rsidP="0098385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628,2800</w:t>
            </w:r>
          </w:p>
        </w:tc>
      </w:tr>
    </w:tbl>
    <w:p w:rsidR="00047711" w:rsidRDefault="00047711" w:rsidP="0065574F">
      <w:pPr>
        <w:tabs>
          <w:tab w:val="left" w:pos="9795"/>
        </w:tabs>
        <w:ind w:firstLine="709"/>
        <w:jc w:val="both"/>
        <w:rPr>
          <w:sz w:val="20"/>
          <w:szCs w:val="20"/>
        </w:rPr>
      </w:pPr>
    </w:p>
    <w:p w:rsidR="00047711" w:rsidRDefault="00047711" w:rsidP="0065574F">
      <w:pPr>
        <w:tabs>
          <w:tab w:val="left" w:pos="979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 - По согласованию</w:t>
      </w:r>
    </w:p>
    <w:p w:rsidR="00047711" w:rsidRPr="009126D5" w:rsidRDefault="00047711" w:rsidP="009126D5">
      <w:pPr>
        <w:tabs>
          <w:tab w:val="left" w:pos="979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 - Потребности в бюджетных ресурсах каждого мероприятия Муниципальной программы определены предварительно с использованием данных о стоимости работ аналогичного характера, производимых в городе Димитровграде Ульяновской области или иных регионах Российской Федерации».</w:t>
      </w:r>
    </w:p>
    <w:p w:rsidR="00047711" w:rsidRDefault="00047711" w:rsidP="000B55F0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47711" w:rsidRDefault="00047711" w:rsidP="000B55F0"/>
    <w:sectPr w:rsidR="00047711" w:rsidSect="004303E4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11" w:rsidRDefault="00047711" w:rsidP="00E224D0">
      <w:r>
        <w:separator/>
      </w:r>
    </w:p>
  </w:endnote>
  <w:endnote w:type="continuationSeparator" w:id="0">
    <w:p w:rsidR="00047711" w:rsidRDefault="00047711" w:rsidP="00E2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11" w:rsidRDefault="00047711" w:rsidP="00E224D0">
      <w:r>
        <w:separator/>
      </w:r>
    </w:p>
  </w:footnote>
  <w:footnote w:type="continuationSeparator" w:id="0">
    <w:p w:rsidR="00047711" w:rsidRDefault="00047711" w:rsidP="00E2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1" w:rsidRDefault="00047711" w:rsidP="00323AB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7711" w:rsidRDefault="00047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86C"/>
    <w:multiLevelType w:val="hybridMultilevel"/>
    <w:tmpl w:val="B1BA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50E2"/>
    <w:multiLevelType w:val="hybridMultilevel"/>
    <w:tmpl w:val="2F7881B6"/>
    <w:lvl w:ilvl="0" w:tplc="DA965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10"/>
    <w:rsid w:val="00001CAE"/>
    <w:rsid w:val="00020B5A"/>
    <w:rsid w:val="00047711"/>
    <w:rsid w:val="000844BA"/>
    <w:rsid w:val="000A2E92"/>
    <w:rsid w:val="000A6CD4"/>
    <w:rsid w:val="000B55F0"/>
    <w:rsid w:val="000C484A"/>
    <w:rsid w:val="000D0349"/>
    <w:rsid w:val="000F1C05"/>
    <w:rsid w:val="00105038"/>
    <w:rsid w:val="00111F82"/>
    <w:rsid w:val="001208AF"/>
    <w:rsid w:val="001261C7"/>
    <w:rsid w:val="001265B4"/>
    <w:rsid w:val="00150920"/>
    <w:rsid w:val="00153CFE"/>
    <w:rsid w:val="0016771C"/>
    <w:rsid w:val="00181F9F"/>
    <w:rsid w:val="001B43B6"/>
    <w:rsid w:val="001B74D8"/>
    <w:rsid w:val="001C2F8E"/>
    <w:rsid w:val="001E02CE"/>
    <w:rsid w:val="002111FE"/>
    <w:rsid w:val="00214093"/>
    <w:rsid w:val="00223295"/>
    <w:rsid w:val="00245C5D"/>
    <w:rsid w:val="002509D0"/>
    <w:rsid w:val="00272150"/>
    <w:rsid w:val="00295152"/>
    <w:rsid w:val="002A3909"/>
    <w:rsid w:val="002E48F3"/>
    <w:rsid w:val="002F4CBB"/>
    <w:rsid w:val="00315E0C"/>
    <w:rsid w:val="00323AB5"/>
    <w:rsid w:val="00385512"/>
    <w:rsid w:val="00393F25"/>
    <w:rsid w:val="003F29EA"/>
    <w:rsid w:val="00402458"/>
    <w:rsid w:val="0040271C"/>
    <w:rsid w:val="004147C8"/>
    <w:rsid w:val="004303E4"/>
    <w:rsid w:val="00466BD8"/>
    <w:rsid w:val="00475431"/>
    <w:rsid w:val="004C33BA"/>
    <w:rsid w:val="004D449C"/>
    <w:rsid w:val="004D68DB"/>
    <w:rsid w:val="004F051C"/>
    <w:rsid w:val="00522A1F"/>
    <w:rsid w:val="0055260F"/>
    <w:rsid w:val="00582003"/>
    <w:rsid w:val="005D7706"/>
    <w:rsid w:val="005F401D"/>
    <w:rsid w:val="00605458"/>
    <w:rsid w:val="00605BF9"/>
    <w:rsid w:val="00615B69"/>
    <w:rsid w:val="00627F23"/>
    <w:rsid w:val="00634C6D"/>
    <w:rsid w:val="00642539"/>
    <w:rsid w:val="00645C69"/>
    <w:rsid w:val="0065574F"/>
    <w:rsid w:val="0066188D"/>
    <w:rsid w:val="00667A29"/>
    <w:rsid w:val="00672653"/>
    <w:rsid w:val="006772E6"/>
    <w:rsid w:val="00684491"/>
    <w:rsid w:val="006A14F3"/>
    <w:rsid w:val="006A4F24"/>
    <w:rsid w:val="006D7C5A"/>
    <w:rsid w:val="00712F03"/>
    <w:rsid w:val="00732210"/>
    <w:rsid w:val="00737227"/>
    <w:rsid w:val="007704A1"/>
    <w:rsid w:val="0077716A"/>
    <w:rsid w:val="007C3C31"/>
    <w:rsid w:val="007E0A9D"/>
    <w:rsid w:val="008008E6"/>
    <w:rsid w:val="00806955"/>
    <w:rsid w:val="00851A5F"/>
    <w:rsid w:val="0089156A"/>
    <w:rsid w:val="008922B3"/>
    <w:rsid w:val="008A165D"/>
    <w:rsid w:val="008D5844"/>
    <w:rsid w:val="008F060C"/>
    <w:rsid w:val="009119E1"/>
    <w:rsid w:val="009126D5"/>
    <w:rsid w:val="00916744"/>
    <w:rsid w:val="00940732"/>
    <w:rsid w:val="009567D2"/>
    <w:rsid w:val="00965BFB"/>
    <w:rsid w:val="009758FB"/>
    <w:rsid w:val="0098385F"/>
    <w:rsid w:val="009943DC"/>
    <w:rsid w:val="009A3927"/>
    <w:rsid w:val="009C052B"/>
    <w:rsid w:val="00A52A20"/>
    <w:rsid w:val="00A54B85"/>
    <w:rsid w:val="00AD26DF"/>
    <w:rsid w:val="00AE356B"/>
    <w:rsid w:val="00AF49CC"/>
    <w:rsid w:val="00B0109F"/>
    <w:rsid w:val="00B11C56"/>
    <w:rsid w:val="00B16B5E"/>
    <w:rsid w:val="00B3048B"/>
    <w:rsid w:val="00B5695A"/>
    <w:rsid w:val="00B92899"/>
    <w:rsid w:val="00B93C87"/>
    <w:rsid w:val="00BD62F5"/>
    <w:rsid w:val="00BF6BA0"/>
    <w:rsid w:val="00C3380C"/>
    <w:rsid w:val="00C3769F"/>
    <w:rsid w:val="00C6449B"/>
    <w:rsid w:val="00C75BE0"/>
    <w:rsid w:val="00C834A0"/>
    <w:rsid w:val="00C9102B"/>
    <w:rsid w:val="00CA3B40"/>
    <w:rsid w:val="00DA1199"/>
    <w:rsid w:val="00DA49C4"/>
    <w:rsid w:val="00DB4B7F"/>
    <w:rsid w:val="00DC06A4"/>
    <w:rsid w:val="00DF2D96"/>
    <w:rsid w:val="00E13233"/>
    <w:rsid w:val="00E16CA4"/>
    <w:rsid w:val="00E224D0"/>
    <w:rsid w:val="00E41147"/>
    <w:rsid w:val="00E6743F"/>
    <w:rsid w:val="00E750AA"/>
    <w:rsid w:val="00E93D86"/>
    <w:rsid w:val="00EA1301"/>
    <w:rsid w:val="00EE3DF8"/>
    <w:rsid w:val="00EF5544"/>
    <w:rsid w:val="00EF6C89"/>
    <w:rsid w:val="00F03BBF"/>
    <w:rsid w:val="00F24709"/>
    <w:rsid w:val="00F24B85"/>
    <w:rsid w:val="00F26B11"/>
    <w:rsid w:val="00F45918"/>
    <w:rsid w:val="00F5628E"/>
    <w:rsid w:val="00F65CB1"/>
    <w:rsid w:val="00FB0A78"/>
    <w:rsid w:val="00FF0F7C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5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B55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55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B55F0"/>
    <w:rPr>
      <w:i/>
      <w:iCs/>
    </w:rPr>
  </w:style>
  <w:style w:type="paragraph" w:styleId="BalloonText">
    <w:name w:val="Balloon Text"/>
    <w:basedOn w:val="Normal"/>
    <w:link w:val="BalloonTextChar1"/>
    <w:uiPriority w:val="99"/>
    <w:semiHidden/>
    <w:rsid w:val="000B5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A9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0B55F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68449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65574F"/>
    <w:pPr>
      <w:suppressLineNumbers/>
      <w:suppressAutoHyphens/>
    </w:pPr>
    <w:rPr>
      <w:lang w:eastAsia="zh-CN"/>
    </w:rPr>
  </w:style>
  <w:style w:type="paragraph" w:styleId="Header">
    <w:name w:val="header"/>
    <w:basedOn w:val="Normal"/>
    <w:link w:val="HeaderChar1"/>
    <w:uiPriority w:val="99"/>
    <w:rsid w:val="00E224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2A9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2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224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2A9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24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188D"/>
    <w:rPr>
      <w:color w:val="0000FF"/>
      <w:u w:val="single"/>
    </w:rPr>
  </w:style>
  <w:style w:type="paragraph" w:customStyle="1" w:styleId="ConsPlusNormal">
    <w:name w:val="ConsPlusNormal"/>
    <w:uiPriority w:val="99"/>
    <w:rsid w:val="0066188D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001C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303E4"/>
  </w:style>
  <w:style w:type="paragraph" w:customStyle="1" w:styleId="msonormalcxspmiddle">
    <w:name w:val="msonormalcxspmiddle"/>
    <w:basedOn w:val="Normal"/>
    <w:uiPriority w:val="99"/>
    <w:rsid w:val="00E16CA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A165D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8F9B3F7122C995EF2F3AC83FC8A913802B60D20607341A7240DA4A828FA581F4E3BAC9E548237y1x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8F9B3F7122C995EF2F3AC83FC8A91380DB7062C607341A7240DA4A828FA581F4E3BAC9E548030y1xF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F544AE04DD5B178862C5C4B5031D27A8B8D42D31875EF0BBA2E34EF39B36C60703F395419CD9EZB3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BD68C7897AD52C14657AD42D0BE84169E96881F69D13BE1F9C1CF559B7F88C968B0A99A21ACD2D338EFEv6T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8F9B3F7122C995EF2EDA19590D49B3F0EEB022B677915F97B56F9FF21F00Fy5x8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P\Desktop\&#1047;&#1076;&#1086;&#1088;&#1086;&#1074;&#1099;&#1081;%20&#1075;&#1086;&#1088;&#1086;&#1076;%20&#1048;&#1079;&#1084;&#1077;&#1085;&#1077;&#1085;&#1080;&#1103;%20&#1074;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Здоровый город Изменения в 2001.dot</Template>
  <TotalTime>0</TotalTime>
  <Pages>12</Pages>
  <Words>3501</Words>
  <Characters>19958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URSP</dc:creator>
  <cp:keywords/>
  <dc:description/>
  <cp:lastModifiedBy>Еронина</cp:lastModifiedBy>
  <cp:revision>2</cp:revision>
  <cp:lastPrinted>2019-12-25T06:50:00Z</cp:lastPrinted>
  <dcterms:created xsi:type="dcterms:W3CDTF">2020-09-30T12:13:00Z</dcterms:created>
  <dcterms:modified xsi:type="dcterms:W3CDTF">2020-09-30T12:13:00Z</dcterms:modified>
</cp:coreProperties>
</file>